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5EC" w:rsidRDefault="002D05EC" w:rsidP="002D05EC">
      <w:pPr>
        <w:shd w:val="clear" w:color="auto" w:fill="FFFFFF"/>
        <w:spacing w:after="0" w:line="240" w:lineRule="auto"/>
        <w:jc w:val="center"/>
        <w:textAlignment w:val="top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Разъяснения о финансировании медосмотров за счет взносов за травматизм</w:t>
      </w:r>
      <w:bookmarkStart w:id="0" w:name="_GoBack"/>
      <w:bookmarkEnd w:id="0"/>
    </w:p>
    <w:p w:rsidR="002D05EC" w:rsidRDefault="002D05EC" w:rsidP="002D05EC">
      <w:pPr>
        <w:shd w:val="clear" w:color="auto" w:fill="FFFFFF"/>
        <w:spacing w:after="0" w:line="240" w:lineRule="auto"/>
        <w:jc w:val="center"/>
        <w:textAlignment w:val="top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</w:p>
    <w:p w:rsidR="002D05EC" w:rsidRPr="002D05EC" w:rsidRDefault="002D05EC" w:rsidP="002D05EC">
      <w:pPr>
        <w:shd w:val="clear" w:color="auto" w:fill="FFFFFF"/>
        <w:spacing w:after="0" w:line="240" w:lineRule="auto"/>
        <w:jc w:val="center"/>
        <w:textAlignment w:val="top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D05EC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МИНИСТЕРСТВО ТРУДА И СОЦИАЛЬНОЙ ЗАЩИТЫ РОССИЙСКОЙ ФЕДЕРАЦИИ</w:t>
      </w:r>
    </w:p>
    <w:p w:rsidR="002D05EC" w:rsidRPr="002D05EC" w:rsidRDefault="002D05EC" w:rsidP="002D05EC">
      <w:pPr>
        <w:shd w:val="clear" w:color="auto" w:fill="FFFFFF"/>
        <w:spacing w:after="0" w:line="240" w:lineRule="auto"/>
        <w:jc w:val="center"/>
        <w:textAlignment w:val="top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bookmarkStart w:id="1" w:name="bssPhr2"/>
      <w:bookmarkStart w:id="2" w:name="dfasrwg597"/>
      <w:bookmarkEnd w:id="1"/>
      <w:bookmarkEnd w:id="2"/>
      <w:r w:rsidRPr="002D05EC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ПИСЬМО</w:t>
      </w:r>
    </w:p>
    <w:p w:rsidR="002D05EC" w:rsidRPr="002D05EC" w:rsidRDefault="002D05EC" w:rsidP="002D05EC">
      <w:pPr>
        <w:shd w:val="clear" w:color="auto" w:fill="FFFFFF"/>
        <w:spacing w:after="0" w:line="240" w:lineRule="auto"/>
        <w:jc w:val="center"/>
        <w:textAlignment w:val="top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bookmarkStart w:id="3" w:name="bssPhr3"/>
      <w:bookmarkStart w:id="4" w:name="dfasywyekk"/>
      <w:bookmarkEnd w:id="3"/>
      <w:bookmarkEnd w:id="4"/>
      <w:proofErr w:type="gramStart"/>
      <w:r w:rsidRPr="002D05EC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от</w:t>
      </w:r>
      <w:proofErr w:type="gramEnd"/>
      <w:r w:rsidRPr="002D05EC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17 ноября 2020 года № 15-3/ООГ-3355</w:t>
      </w:r>
    </w:p>
    <w:p w:rsidR="002D05EC" w:rsidRPr="002D05EC" w:rsidRDefault="002D05EC" w:rsidP="002D05EC">
      <w:pPr>
        <w:shd w:val="clear" w:color="auto" w:fill="FFFFFF"/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bookmarkStart w:id="5" w:name="bssPhr4"/>
      <w:bookmarkStart w:id="6" w:name="dfas1xdid7"/>
      <w:bookmarkEnd w:id="5"/>
      <w:bookmarkEnd w:id="6"/>
      <w:r w:rsidRPr="002D05E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Департамент условий и охраны труда рассмотрел обращение, поступившее на официальный сайт Минтруда России, и сообщает следующее.</w:t>
      </w:r>
    </w:p>
    <w:p w:rsidR="002D05EC" w:rsidRPr="002D05EC" w:rsidRDefault="002D05EC" w:rsidP="002D05EC">
      <w:pPr>
        <w:shd w:val="clear" w:color="auto" w:fill="FFFFFF"/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bookmarkStart w:id="7" w:name="bssPhr5"/>
      <w:bookmarkStart w:id="8" w:name="dfasmi2cnu"/>
      <w:bookmarkEnd w:id="7"/>
      <w:bookmarkEnd w:id="8"/>
      <w:r w:rsidRPr="002D05E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Согласно </w:t>
      </w:r>
      <w:hyperlink r:id="rId4" w:anchor="XA00MBK2NE" w:history="1">
        <w:r w:rsidRPr="002D05EC">
          <w:rPr>
            <w:rFonts w:ascii="Georgia" w:eastAsia="Times New Roman" w:hAnsi="Georgia" w:cs="Times New Roman"/>
            <w:color w:val="008200"/>
            <w:sz w:val="24"/>
            <w:szCs w:val="24"/>
            <w:u w:val="single"/>
            <w:bdr w:val="none" w:sz="0" w:space="0" w:color="auto" w:frame="1"/>
            <w:lang w:eastAsia="ru-RU"/>
          </w:rPr>
          <w:t>подпункту «е»</w:t>
        </w:r>
      </w:hyperlink>
      <w:r w:rsidRPr="002D05E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пункта 3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утвержденным </w:t>
      </w:r>
      <w:hyperlink r:id="rId5" w:history="1">
        <w:r w:rsidRPr="002D05EC">
          <w:rPr>
            <w:rFonts w:ascii="Georgia" w:eastAsia="Times New Roman" w:hAnsi="Georgia" w:cs="Times New Roman"/>
            <w:color w:val="008200"/>
            <w:sz w:val="24"/>
            <w:szCs w:val="24"/>
            <w:u w:val="single"/>
            <w:bdr w:val="none" w:sz="0" w:space="0" w:color="auto" w:frame="1"/>
            <w:lang w:eastAsia="ru-RU"/>
          </w:rPr>
          <w:t>приказом Минтруда России от 10.12.2012 № 580н</w:t>
        </w:r>
      </w:hyperlink>
      <w:r w:rsidRPr="002D05E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(далее - Правила), финансовому обеспечению за счет сумм страховых взносов на обязательное социальное страхование от несчастных случаев на производстве и профессиональных заболеваний подлежат расходы страхователя на проведение обязательных периодических медицинских осмотров (обследований) работников, занятых на работах с вредными и (или) опасными производственными факторами.</w:t>
      </w:r>
    </w:p>
    <w:p w:rsidR="002D05EC" w:rsidRPr="002D05EC" w:rsidRDefault="002D05EC" w:rsidP="002D05EC">
      <w:pPr>
        <w:shd w:val="clear" w:color="auto" w:fill="FFFFFF"/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bookmarkStart w:id="9" w:name="bssPhr6"/>
      <w:bookmarkStart w:id="10" w:name="dfash3bk6k"/>
      <w:bookmarkEnd w:id="9"/>
      <w:bookmarkEnd w:id="10"/>
      <w:r w:rsidRPr="002D05E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Для обоснования финансового обеспечения проведения обязательных периодических медицинских осмотров (обследований) работников страхователь представляет список работников, подлежащих прохождению обязательных периодических медицинских осмотров (обследований), утвержденный страхователем в соответствии с Порядком проведения обязательных периодических медицинских осмотров (обследований), утвержденным </w:t>
      </w:r>
      <w:hyperlink r:id="rId6" w:history="1">
        <w:r w:rsidRPr="002D05EC">
          <w:rPr>
            <w:rFonts w:ascii="Georgia" w:eastAsia="Times New Roman" w:hAnsi="Georgia" w:cs="Times New Roman"/>
            <w:color w:val="008200"/>
            <w:sz w:val="24"/>
            <w:szCs w:val="24"/>
            <w:u w:val="single"/>
            <w:bdr w:val="none" w:sz="0" w:space="0" w:color="auto" w:frame="1"/>
            <w:lang w:eastAsia="ru-RU"/>
          </w:rPr>
          <w:t>приказом Минздравсоцразвития России от 12.04.2011 № 302н</w:t>
        </w:r>
      </w:hyperlink>
      <w:r w:rsidRPr="002D05E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(обследований)» (далее - соответственно Порядок, Перечень факторов и Перечень работ).</w:t>
      </w:r>
    </w:p>
    <w:p w:rsidR="002D05EC" w:rsidRPr="002D05EC" w:rsidRDefault="002D05EC" w:rsidP="002D05EC">
      <w:pPr>
        <w:shd w:val="clear" w:color="auto" w:fill="FFFFFF"/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bookmarkStart w:id="11" w:name="bssPhr7"/>
      <w:bookmarkStart w:id="12" w:name="dfasn1ygqe"/>
      <w:bookmarkEnd w:id="11"/>
      <w:bookmarkEnd w:id="12"/>
      <w:r w:rsidRPr="002D05E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 соответствии с пунктом 19 раздела III Порядка периодические осмотры проводятся на основании поименных списков, разработанных на основании контингентов работников, подлежащих периодическим и (или) предварительным осмотрам (далее - поименные списки), с указанием вредных (опасных) производственных факторов, а также вида работы в соответствии с Перечнем факторов и Перечнем работ.</w:t>
      </w:r>
    </w:p>
    <w:p w:rsidR="002D05EC" w:rsidRPr="002D05EC" w:rsidRDefault="002D05EC" w:rsidP="002D05EC">
      <w:pPr>
        <w:shd w:val="clear" w:color="auto" w:fill="FFFFFF"/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bookmarkStart w:id="13" w:name="bssPhr8"/>
      <w:bookmarkStart w:id="14" w:name="dfasmdf1wn"/>
      <w:bookmarkEnd w:id="13"/>
      <w:bookmarkEnd w:id="14"/>
      <w:r w:rsidRPr="002D05E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Включению в списки контингента и поименные списки подлежат работники: подвергающиеся воздействию вредных производственных факторов, указанных в Перечне факторов, а также вредных производственных факторов, наличие которых установлено по результатам специальной оценки условий труда (или действующим результатам ранее проведенной аттестации рабочих мест по условиям труда), проведенной в установленном порядке;</w:t>
      </w:r>
    </w:p>
    <w:p w:rsidR="002D05EC" w:rsidRPr="002D05EC" w:rsidRDefault="002D05EC" w:rsidP="002D05EC">
      <w:pPr>
        <w:shd w:val="clear" w:color="auto" w:fill="FFFFFF"/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bookmarkStart w:id="15" w:name="bssPhr9"/>
      <w:bookmarkStart w:id="16" w:name="dfast3tpwy"/>
      <w:bookmarkEnd w:id="15"/>
      <w:bookmarkEnd w:id="16"/>
      <w:proofErr w:type="gramStart"/>
      <w:r w:rsidRPr="002D05E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выполняющие</w:t>
      </w:r>
      <w:proofErr w:type="gramEnd"/>
      <w:r w:rsidRPr="002D05E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работы, предусмотренные Перечнем работ. Согласно пункту 22 Порядка в поименных списках указываются в том числе наименование вредного производственного фактора или вида работы.</w:t>
      </w:r>
    </w:p>
    <w:p w:rsidR="002D05EC" w:rsidRPr="002D05EC" w:rsidRDefault="002D05EC" w:rsidP="002D05EC">
      <w:pPr>
        <w:shd w:val="clear" w:color="auto" w:fill="FFFFFF"/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bookmarkStart w:id="17" w:name="bssPhr10"/>
      <w:bookmarkStart w:id="18" w:name="dfasskl9m3"/>
      <w:bookmarkEnd w:id="17"/>
      <w:bookmarkEnd w:id="18"/>
      <w:r w:rsidRPr="002D05E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 связи с изложенным, указанный в поименном списке страхователя вид работы, входящий в Перечень работ, является основанием для финансового обеспечения проведения обязательных периодических медицинских осмотров (обследований) работников согласно </w:t>
      </w:r>
      <w:hyperlink r:id="rId7" w:history="1">
        <w:r w:rsidRPr="002D05EC">
          <w:rPr>
            <w:rFonts w:ascii="Georgia" w:eastAsia="Times New Roman" w:hAnsi="Georgia" w:cs="Times New Roman"/>
            <w:color w:val="008200"/>
            <w:sz w:val="24"/>
            <w:szCs w:val="24"/>
            <w:u w:val="single"/>
            <w:bdr w:val="none" w:sz="0" w:space="0" w:color="auto" w:frame="1"/>
            <w:lang w:eastAsia="ru-RU"/>
          </w:rPr>
          <w:t>Правилам</w:t>
        </w:r>
      </w:hyperlink>
      <w:r w:rsidRPr="002D05E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2D05EC" w:rsidRPr="002D05EC" w:rsidRDefault="002D05EC" w:rsidP="002D05EC">
      <w:pPr>
        <w:shd w:val="clear" w:color="auto" w:fill="FFFFFF"/>
        <w:spacing w:after="0" w:line="240" w:lineRule="auto"/>
        <w:jc w:val="right"/>
        <w:textAlignment w:val="top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bookmarkStart w:id="19" w:name="bssPhr11"/>
      <w:bookmarkStart w:id="20" w:name="dfassz515o"/>
      <w:bookmarkEnd w:id="19"/>
      <w:bookmarkEnd w:id="20"/>
      <w:r w:rsidRPr="002D05E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Заместитель</w:t>
      </w:r>
      <w:r w:rsidRPr="002D05E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Директора Департамента</w:t>
      </w:r>
      <w:r w:rsidRPr="002D05E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2D05E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условий и охраны труда</w:t>
      </w:r>
      <w:r w:rsidRPr="002D05E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Т.М. </w:t>
      </w:r>
      <w:proofErr w:type="spellStart"/>
      <w:r w:rsidRPr="002D05E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Жигастова</w:t>
      </w:r>
      <w:proofErr w:type="spellEnd"/>
    </w:p>
    <w:p w:rsidR="002D05EC" w:rsidRPr="002D05EC" w:rsidRDefault="002D05EC" w:rsidP="002D05EC">
      <w:pPr>
        <w:shd w:val="clear" w:color="auto" w:fill="5D5D5D"/>
        <w:spacing w:after="0" w:line="240" w:lineRule="auto"/>
        <w:jc w:val="center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hyperlink r:id="rId8" w:tgtFrame="_blank" w:history="1">
        <w:r w:rsidRPr="002D05EC">
          <w:rPr>
            <w:rFonts w:ascii="Arial" w:eastAsia="Times New Roman" w:hAnsi="Arial" w:cs="Arial"/>
            <w:color w:val="FFFFFF"/>
            <w:sz w:val="20"/>
            <w:szCs w:val="20"/>
            <w:bdr w:val="none" w:sz="0" w:space="0" w:color="auto" w:frame="1"/>
            <w:lang w:eastAsia="ru-RU"/>
          </w:rPr>
          <w:t>Содержание документа</w:t>
        </w:r>
      </w:hyperlink>
    </w:p>
    <w:p w:rsidR="002D05EC" w:rsidRPr="002D05EC" w:rsidRDefault="002D05EC" w:rsidP="002D05EC">
      <w:pPr>
        <w:shd w:val="clear" w:color="auto" w:fill="5D5D5D"/>
        <w:spacing w:after="0" w:line="240" w:lineRule="auto"/>
        <w:jc w:val="center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 w:rsidRPr="002D05EC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Полезное</w:t>
      </w:r>
    </w:p>
    <w:p w:rsidR="002D05EC" w:rsidRPr="002D05EC" w:rsidRDefault="002D05EC" w:rsidP="002D05EC">
      <w:pPr>
        <w:shd w:val="clear" w:color="auto" w:fill="5D5D5D"/>
        <w:spacing w:after="0" w:line="240" w:lineRule="auto"/>
        <w:jc w:val="center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hyperlink r:id="rId9" w:tgtFrame="_blank" w:history="1">
        <w:r w:rsidRPr="002D05EC">
          <w:rPr>
            <w:rFonts w:ascii="Arial" w:eastAsia="Times New Roman" w:hAnsi="Arial" w:cs="Arial"/>
            <w:color w:val="FFFFFF"/>
            <w:sz w:val="20"/>
            <w:szCs w:val="20"/>
            <w:bdr w:val="none" w:sz="0" w:space="0" w:color="auto" w:frame="1"/>
            <w:lang w:eastAsia="ru-RU"/>
          </w:rPr>
          <w:t>Темы</w:t>
        </w:r>
      </w:hyperlink>
    </w:p>
    <w:p w:rsidR="002D05EC" w:rsidRPr="002D05EC" w:rsidRDefault="002D05EC" w:rsidP="002D05EC">
      <w:pPr>
        <w:shd w:val="clear" w:color="auto" w:fill="5D5D5D"/>
        <w:spacing w:after="0" w:line="240" w:lineRule="auto"/>
        <w:jc w:val="center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hyperlink r:id="rId10" w:tgtFrame="_blank" w:history="1">
        <w:r w:rsidRPr="002D05EC">
          <w:rPr>
            <w:rFonts w:ascii="Arial" w:eastAsia="Times New Roman" w:hAnsi="Arial" w:cs="Arial"/>
            <w:color w:val="FFFFFF"/>
            <w:sz w:val="20"/>
            <w:szCs w:val="20"/>
            <w:bdr w:val="none" w:sz="0" w:space="0" w:color="auto" w:frame="1"/>
            <w:lang w:eastAsia="ru-RU"/>
          </w:rPr>
          <w:t>Номера</w:t>
        </w:r>
      </w:hyperlink>
    </w:p>
    <w:p w:rsidR="002D05EC" w:rsidRPr="002D05EC" w:rsidRDefault="002D05EC" w:rsidP="002D05EC">
      <w:pPr>
        <w:shd w:val="clear" w:color="auto" w:fill="5D5D5D"/>
        <w:spacing w:after="0" w:line="240" w:lineRule="auto"/>
        <w:jc w:val="center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 w:rsidRPr="002D05EC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Новый Главбух № 22</w:t>
      </w:r>
    </w:p>
    <w:p w:rsidR="00D77342" w:rsidRDefault="00D77342"/>
    <w:sectPr w:rsidR="00D77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5EC"/>
    <w:rsid w:val="002D05EC"/>
    <w:rsid w:val="00D7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0F9C0D-7D59-4793-B9FD-0186E73EA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7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16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4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4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883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72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41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0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262555">
              <w:marLeft w:val="-15"/>
              <w:marRight w:val="0"/>
              <w:marTop w:val="0"/>
              <w:marBottom w:val="0"/>
              <w:divBdr>
                <w:top w:val="single" w:sz="6" w:space="2" w:color="454546"/>
                <w:left w:val="single" w:sz="6" w:space="11" w:color="454546"/>
                <w:bottom w:val="single" w:sz="6" w:space="3" w:color="454546"/>
                <w:right w:val="single" w:sz="6" w:space="11" w:color="454546"/>
              </w:divBdr>
            </w:div>
            <w:div w:id="1246065138">
              <w:marLeft w:val="300"/>
              <w:marRight w:val="300"/>
              <w:marTop w:val="0"/>
              <w:marBottom w:val="0"/>
              <w:divBdr>
                <w:top w:val="single" w:sz="6" w:space="2" w:color="454546"/>
                <w:left w:val="single" w:sz="6" w:space="29" w:color="454546"/>
                <w:bottom w:val="single" w:sz="6" w:space="3" w:color="454546"/>
                <w:right w:val="single" w:sz="6" w:space="11" w:color="454546"/>
              </w:divBdr>
            </w:div>
            <w:div w:id="2034989789">
              <w:marLeft w:val="-15"/>
              <w:marRight w:val="0"/>
              <w:marTop w:val="0"/>
              <w:marBottom w:val="0"/>
              <w:divBdr>
                <w:top w:val="single" w:sz="6" w:space="2" w:color="454546"/>
                <w:left w:val="single" w:sz="6" w:space="11" w:color="454546"/>
                <w:bottom w:val="single" w:sz="6" w:space="3" w:color="454546"/>
                <w:right w:val="single" w:sz="6" w:space="11" w:color="454546"/>
              </w:divBdr>
            </w:div>
            <w:div w:id="490754364">
              <w:marLeft w:val="-15"/>
              <w:marRight w:val="0"/>
              <w:marTop w:val="0"/>
              <w:marBottom w:val="0"/>
              <w:divBdr>
                <w:top w:val="single" w:sz="6" w:space="2" w:color="454546"/>
                <w:left w:val="single" w:sz="6" w:space="11" w:color="454546"/>
                <w:bottom w:val="single" w:sz="6" w:space="3" w:color="454546"/>
                <w:right w:val="single" w:sz="6" w:space="11" w:color="454546"/>
              </w:divBdr>
            </w:div>
            <w:div w:id="234434403">
              <w:marLeft w:val="-15"/>
              <w:marRight w:val="0"/>
              <w:marTop w:val="0"/>
              <w:marBottom w:val="0"/>
              <w:divBdr>
                <w:top w:val="single" w:sz="6" w:space="2" w:color="454546"/>
                <w:left w:val="single" w:sz="6" w:space="11" w:color="454546"/>
                <w:bottom w:val="single" w:sz="6" w:space="3" w:color="454546"/>
                <w:right w:val="single" w:sz="6" w:space="11" w:color="454546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otruda.ru/npd-doc?npmid=97&amp;npid=48408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.otruda.ru/npd-doc?npmid=99&amp;npid=902387260&amp;anchor=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otruda.ru/npd-doc?npmid=99&amp;npid=902275195&amp;anchor=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.otruda.ru/npd-doc?npmid=99&amp;npid=902387260&amp;anchor=" TargetMode="External"/><Relationship Id="rId10" Type="http://schemas.openxmlformats.org/officeDocument/2006/relationships/hyperlink" Target="https://e.otruda.ru/npd-doc?npmid=97&amp;npid=484085" TargetMode="External"/><Relationship Id="rId4" Type="http://schemas.openxmlformats.org/officeDocument/2006/relationships/hyperlink" Target="https://e.otruda.ru/npd-doc?npmid=99&amp;npid=902387260&amp;anchor=XA00MBK2NE" TargetMode="External"/><Relationship Id="rId9" Type="http://schemas.openxmlformats.org/officeDocument/2006/relationships/hyperlink" Target="https://e.otruda.ru/npd-doc?npmid=97&amp;npid=4840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ohrana_truda</dc:creator>
  <cp:keywords/>
  <dc:description/>
  <cp:lastModifiedBy>ohrana_truda</cp:lastModifiedBy>
  <cp:revision>1</cp:revision>
  <dcterms:created xsi:type="dcterms:W3CDTF">2020-11-23T22:57:00Z</dcterms:created>
  <dcterms:modified xsi:type="dcterms:W3CDTF">2020-11-23T22:59:00Z</dcterms:modified>
</cp:coreProperties>
</file>