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1 квартале 2021 года ненормативные правовые акты, решения или действия (бездействия) территориальной избирательной комиссии </w:t>
      </w:r>
      <w:r>
        <w:rPr>
          <w:rStyle w:val="a3"/>
          <w:b w:val="0"/>
          <w:bCs w:val="0"/>
          <w:sz w:val="28"/>
          <w:szCs w:val="28"/>
        </w:rPr>
        <w:t>Черниговс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>кого</w:t>
      </w:r>
      <w:r>
        <w:rPr>
          <w:rStyle w:val="a3"/>
          <w:b w:val="0"/>
          <w:bCs w:val="0"/>
          <w:sz w:val="28"/>
          <w:szCs w:val="28"/>
        </w:rPr>
        <w:t xml:space="preserve"> района, ее должностных лиц, решением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5D7C13"/>
    <w:rsid w:val="00B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2021-07-08T23:44:00Z</dcterms:created>
  <dcterms:modified xsi:type="dcterms:W3CDTF">2021-07-08T23:46:00Z</dcterms:modified>
</cp:coreProperties>
</file>