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76"/>
        <w:gridCol w:w="4691"/>
      </w:tblGrid>
      <w:tr w:rsidR="00B57C40" w:rsidRPr="00ED5D05" w:rsidTr="00B57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4536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B57C40" w:rsidRPr="00ED5D05" w:rsidRDefault="00B57C40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B57C40" w:rsidRPr="00ED5D05" w:rsidRDefault="00B57C40" w:rsidP="00BF703B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69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B57C40" w:rsidRPr="00ED5D05" w:rsidRDefault="00B57C40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40" w:rsidRDefault="00B57C40" w:rsidP="00B57C40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B57C40" w:rsidRDefault="00B57C40" w:rsidP="00B57C40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062D3E" w:rsidRPr="009A5520" w:rsidRDefault="00062D3E" w:rsidP="00B57C40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9A5520">
        <w:rPr>
          <w:rFonts w:ascii="Times New Roman" w:hAnsi="Times New Roman" w:cs="Times New Roman"/>
          <w:b/>
          <w:spacing w:val="0"/>
          <w:sz w:val="28"/>
          <w:szCs w:val="28"/>
        </w:rPr>
        <w:t>Методика</w:t>
      </w:r>
      <w:r w:rsidRPr="009A5520">
        <w:rPr>
          <w:rFonts w:ascii="Times New Roman" w:hAnsi="Times New Roman" w:cs="Times New Roman"/>
          <w:b/>
          <w:spacing w:val="0"/>
          <w:sz w:val="28"/>
          <w:szCs w:val="28"/>
        </w:rPr>
        <w:br/>
        <w:t>оценки профессиональных рисков на рабочих местах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Настоящая методика предназначена для оценки профессиональных рисков (далее – риск) на рабочих местах сотрудников.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Оценка рисков проводится с целью повышение уровня безопасности труда на рабочих местах сотрудников, охраны их здоровья, обеспечения снижения ущерба здоровью и жизни работников на основе управления рисками.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Под оценкой рисков подразумевается процесс обнаружения, распознавания и описания рисков, процесс понимания природы риска, определения уровня риска и процесс сравнения результатов анализа риска с установленными критериями риска для определения, является ли риск и (или) его величина приемлемыми или допустимыми.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При оценке рисков учитываются не только неблагоприятные события и несчастные случаи, происшедшие ранее, но и опасности, пока не вызвавшие неблагоприятные последствия. Таким образом, оценка рисков позволяет выявить опасности, свойственные данной работе, прежде чем они вызовут несчастный случай или причинят иной вред работнику.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В общем случае оценка (расчет) рисков включает: выявление опасностей, определение (расчет) для каждой из них размеров возможных ущербов здоровью, вероятностей их наступления, проведение расчета значения показателя рисков.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Оценка рисков проводится поэтапно, с учетом ранее выявленных опасностей, произошедших НС и с учетом результатов проведенной специальной оценки условий труда.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На первом этапе составляется Реестр возможных опасностей, которые могут проявиться на рабочих местах в организации.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На втором этапе на основе Реестра опасностей проводится идентификация опасностей на каждом рабочем месте.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На третьем этапе проводится оценка уровня риска и степень (возможность) причинения вреда здоровью работнику.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На четвертом этапе определяется перечень профилактических мероприятий и предупредительных мер по нивелированию рисков и предупреждению их проявления.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Риск</w:t>
      </w:r>
      <w:r w:rsidRPr="009A5520">
        <w:rPr>
          <w:rFonts w:ascii="Times New Roman" w:hAnsi="Times New Roman" w:cs="Times New Roman"/>
          <w:sz w:val="28"/>
          <w:szCs w:val="28"/>
        </w:rPr>
        <w:t xml:space="preserve"> – сочетание (произведение) вероятности (или частоты)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lastRenderedPageBreak/>
        <w:t>Опасность</w:t>
      </w:r>
      <w:r w:rsidRPr="009A5520">
        <w:rPr>
          <w:rFonts w:ascii="Times New Roman" w:hAnsi="Times New Roman" w:cs="Times New Roman"/>
          <w:sz w:val="28"/>
          <w:szCs w:val="28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здоровья, потенциальный источник возникновения ущерба. В зависимости от количественной характеристики и продолжительности действия отдельных факторов рабочей среды они могут стать опасными. Потенциальный источник возникновения ущерба.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При оценке рисков необходимо учитывать следующие обстоятельства: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1. Опасность несчастного случая и иного причинения вреда здоровью работника;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2. Выявленные несчастные случаи, профессиональные заболевания и болезни, вызванные условиями труда, а также опасные ситуации.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3. Возраст, пол, профессиональный уровень и другие личные характеристики работника.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4. Тяжесть и напряженность трудового процесса.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5. Безопасность трудового процесса.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6. Безопасность рабочих операций.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7. Состояние производственной среды.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8. Возможную опасность для репродуктивного здоровья.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Определение</w:t>
      </w:r>
      <w:r w:rsidRPr="009A5520">
        <w:rPr>
          <w:rFonts w:ascii="Times New Roman" w:hAnsi="Times New Roman" w:cs="Times New Roman"/>
          <w:sz w:val="28"/>
          <w:szCs w:val="28"/>
        </w:rPr>
        <w:t xml:space="preserve"> величины, значимости и степени влияния рисков на здоровье работников </w:t>
      </w: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проводит комиссия по оценке профессиональных рисков</w:t>
      </w:r>
      <w:r w:rsidRPr="009A5520">
        <w:rPr>
          <w:rFonts w:ascii="Times New Roman" w:hAnsi="Times New Roman" w:cs="Times New Roman"/>
          <w:sz w:val="28"/>
          <w:szCs w:val="28"/>
        </w:rPr>
        <w:t xml:space="preserve"> с учетом мнения сотрудников, работающих на конкретном месте, инженерно­технических работников, отвечающих за технологию работ и состояние оборудования на рабочих местах.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 xml:space="preserve">В ходе оценки </w:t>
      </w: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рассматриваются реальные опасности</w:t>
      </w:r>
      <w:r w:rsidRPr="009A5520">
        <w:rPr>
          <w:rFonts w:ascii="Times New Roman" w:hAnsi="Times New Roman" w:cs="Times New Roman"/>
          <w:sz w:val="28"/>
          <w:szCs w:val="28"/>
        </w:rPr>
        <w:t>, которые могут воздействовать на работников в процессе производственной деятельности. Оцениваются риски на всех рабочих местах (включая все виды работ, вторые и смежные профессии).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При оценке рисков учитываются также сведения о НС и их последствиях, произошедших на рабочем месте и на аналогичных рабочих местах организации.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Оценка рисков на рабочем месте производится в следующей последовательности: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1. Проводится «Идентификация опасностей».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2. Определяют «Вероятность наступления риска» по каждой идентифицированной опасности и присваивается соответствующий ему «Балл» (весовой коэффициент).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3. Каждой идентифицированной опасности определяется «Последствие риска» (возможный ущерб) и присваивается соответствующий ему «Балл» (весовой коэффициент).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lastRenderedPageBreak/>
        <w:t>4. Путем перемножения численных значений «Вероятности наступления риска» и «Последствия риска» рассчитываются значения «Уровня рисков (оценка) по каждой из идентифицированных опасностей.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5. По шкале значения рисков определяют уровень риска на рабочем месте.</w:t>
      </w:r>
    </w:p>
    <w:p w:rsidR="00B57C40" w:rsidRPr="009A5520" w:rsidRDefault="00B57C40" w:rsidP="00B57C4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9A5520" w:rsidRDefault="00B57C40" w:rsidP="00B57C4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B57C4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5520">
        <w:rPr>
          <w:rFonts w:ascii="Times New Roman" w:hAnsi="Times New Roman" w:cs="Times New Roman"/>
          <w:b/>
          <w:sz w:val="28"/>
          <w:szCs w:val="28"/>
        </w:rPr>
        <w:t>Показатель 1. Вероятность наступления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Определение величины риска производится по пятибалльной шкале. Если риск на РМ ­отсутствует, то в графе «Вероятность наступления риска» ставится оценка 0.</w:t>
      </w: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За оценку принимаются следующие значения: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Таблица 1. Вероятность наступления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817"/>
      </w:tblGrid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 риска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Практически исключено. Зависит от следования инструкции. Для появления риска нужны многочисленные поломки/отказы/ошибки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Сложно представить, но может произойти. Зависит от следования инструкции. Для появления риска нужны многочисленные поломки/отказы/ошибки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Иногда может произойти. Зависит от обучения и квалификации работников. Одна ошибка может стать причиной аварии/инцидента/несчастного случая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 xml:space="preserve">Зависит от случая. Высокая степень возможности реализации опасности. </w:t>
            </w:r>
            <w:r w:rsidRPr="009A5520">
              <w:rPr>
                <w:rFonts w:ascii="Times New Roman" w:hAnsi="Times New Roman" w:cs="Times New Roman"/>
                <w:sz w:val="28"/>
                <w:szCs w:val="28"/>
              </w:rPr>
              <w:br/>
              <w:t>Часто слышим о подобных фактах. Периодически наблюдаем такие события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D3E" w:rsidRPr="009A5520" w:rsidTr="00B57C40">
        <w:trPr>
          <w:trHeight w:val="61"/>
        </w:trPr>
        <w:tc>
          <w:tcPr>
            <w:tcW w:w="8613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Обязательно произойдет. Регулярно наблюдаемое событие</w:t>
            </w:r>
          </w:p>
        </w:tc>
        <w:tc>
          <w:tcPr>
            <w:tcW w:w="817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62D3E" w:rsidRPr="009A5520" w:rsidRDefault="00062D3E" w:rsidP="00062D3E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9A5520" w:rsidRDefault="00B57C40" w:rsidP="00B57C4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B57C4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5520">
        <w:rPr>
          <w:rFonts w:ascii="Times New Roman" w:hAnsi="Times New Roman" w:cs="Times New Roman"/>
          <w:b/>
          <w:sz w:val="28"/>
          <w:szCs w:val="28"/>
        </w:rPr>
        <w:t>Показатель 2. Последствия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Определение последствия (значимости) рисков осуществляется по пятибалльной шкале: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Таблица 2. Последствия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986"/>
      </w:tblGrid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Последствия риска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Работник может получить микротравму, с ним может произойти инцидент. Быстроустранимый ущерб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Работник может получить легкую травму, которая приведет к </w:t>
            </w: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потере трудоспособности от 1 до 3 суток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</w:tr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Работник может получить травму или у него может произойти обострение заболевания с потерей трудоспособности от 3 до 14 дней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Работник может получить тяжелую травму или у него может произойти обострение заболевания с потерей трудоспособности более 14 дней, или в результате проявления риска может произойти групповой НС, при котором могут пострадать до 3 работников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57C40" w:rsidRPr="009A5520" w:rsidTr="00B57C40">
        <w:trPr>
          <w:trHeight w:val="62"/>
        </w:trPr>
        <w:tc>
          <w:tcPr>
            <w:tcW w:w="8472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Риск может привести к НС, в результате которого может пострадать группа работников более 3 человек или риск может привести к смертельному НС</w:t>
            </w:r>
          </w:p>
        </w:tc>
        <w:tc>
          <w:tcPr>
            <w:tcW w:w="986" w:type="dxa"/>
          </w:tcPr>
          <w:p w:rsidR="00062D3E" w:rsidRPr="009A5520" w:rsidRDefault="00062D3E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</w:tbl>
    <w:p w:rsidR="00062D3E" w:rsidRPr="009A5520" w:rsidRDefault="00062D3E" w:rsidP="00B57C40">
      <w:pPr>
        <w:pStyle w:val="12TABL-tx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Расчет</w:t>
      </w:r>
    </w:p>
    <w:p w:rsidR="00062D3E" w:rsidRPr="009A5520" w:rsidRDefault="00062D3E" w:rsidP="00B57C40">
      <w:pPr>
        <w:pStyle w:val="17PRIL-txt"/>
        <w:spacing w:line="240" w:lineRule="auto"/>
        <w:ind w:left="0" w:right="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 xml:space="preserve">Уровень риска = Вероятность наступления риска </w:t>
      </w:r>
      <w:r w:rsidR="00B57C40" w:rsidRPr="009A5520">
        <w:rPr>
          <w:rFonts w:ascii="Times New Roman" w:hAnsi="Times New Roman" w:cs="Times New Roman"/>
          <w:sz w:val="28"/>
          <w:szCs w:val="28"/>
        </w:rPr>
        <w:sym w:font="Symbol" w:char="F0B4"/>
      </w:r>
      <w:r w:rsidRPr="009A5520">
        <w:rPr>
          <w:rFonts w:ascii="Times New Roman" w:hAnsi="Times New Roman" w:cs="Times New Roman"/>
          <w:sz w:val="28"/>
          <w:szCs w:val="28"/>
        </w:rPr>
        <w:t xml:space="preserve"> Последствия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Theme="majorHAnsi" w:hAnsiTheme="majorHAnsi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1. На основании данных таблиц 1, 2 уровень риска (Р) производится по формуле: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B57C40">
      <w:pPr>
        <w:pStyle w:val="17PRIL-txt"/>
        <w:spacing w:line="240" w:lineRule="auto"/>
        <w:ind w:left="0" w:right="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 xml:space="preserve">Р = В </w:t>
      </w:r>
      <w:r w:rsidR="00B57C40" w:rsidRPr="009A5520">
        <w:rPr>
          <w:rFonts w:ascii="Times New Roman" w:hAnsi="Times New Roman" w:cs="Times New Roman"/>
          <w:sz w:val="28"/>
          <w:szCs w:val="28"/>
        </w:rPr>
        <w:sym w:font="Symbol" w:char="F0B4"/>
      </w:r>
      <w:r w:rsidRPr="009A552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Уровень риска определяется по оценочному баллу. Для этого значения вероятности риска и последствия риска перемножаются. В зависимости от полученного оценочного балла определяют уровень риска и необходимые действия для его нивелирования.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Таблица 3. Уровень риска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87"/>
        <w:gridCol w:w="1631"/>
        <w:gridCol w:w="7047"/>
      </w:tblGrid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hroom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Корректирующие меры</w:t>
            </w:r>
          </w:p>
        </w:tc>
      </w:tr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1–4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Приостановка работы не требуется. Необходимо предусмотреть организационные или технические меры по его нивелированию и защите сотрудников</w:t>
            </w:r>
          </w:p>
        </w:tc>
      </w:tr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Умеренный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Возможна приостановка работы до 2 часов для устранения несоответствий и нивелирования рисков. Требуется проведение предупредительных мер</w:t>
            </w:r>
          </w:p>
        </w:tc>
      </w:tr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10–14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Возможна приостановка работы в течение рабочей смены. Требуется проведение предупредительных мер по снижению степени риска в установленные сроки</w:t>
            </w:r>
          </w:p>
        </w:tc>
      </w:tr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15–19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Значительный 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Требуются неотложные меры, усовершенствование. Возможна приостановка работы в течение рабочей смены</w:t>
            </w:r>
          </w:p>
        </w:tc>
      </w:tr>
      <w:tr w:rsidR="00062D3E" w:rsidRPr="009A5520" w:rsidTr="00B57C40">
        <w:trPr>
          <w:trHeight w:val="60"/>
        </w:trPr>
        <w:tc>
          <w:tcPr>
            <w:tcW w:w="88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20–25</w:t>
            </w:r>
          </w:p>
        </w:tc>
        <w:tc>
          <w:tcPr>
            <w:tcW w:w="1631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Высокий</w:t>
            </w:r>
          </w:p>
        </w:tc>
        <w:tc>
          <w:tcPr>
            <w:tcW w:w="7047" w:type="dxa"/>
          </w:tcPr>
          <w:p w:rsidR="00062D3E" w:rsidRPr="009A5520" w:rsidRDefault="00062D3E" w:rsidP="00B57C40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Требуется немедленная приостановка работы и проведение мероприятий по снижению рисков до приемлемого уровня</w:t>
            </w:r>
          </w:p>
        </w:tc>
      </w:tr>
    </w:tbl>
    <w:p w:rsidR="00062D3E" w:rsidRPr="009A5520" w:rsidRDefault="00062D3E" w:rsidP="00062D3E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lastRenderedPageBreak/>
        <w:t>После определения значения риска все оцененные риски от опасных факторов распределяют по цветовым зонам (Таблица 4).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Цветовая шкала</w:t>
      </w:r>
    </w:p>
    <w:tbl>
      <w:tblPr>
        <w:tblStyle w:val="a4"/>
        <w:tblW w:w="9485" w:type="dxa"/>
        <w:tblLayout w:type="fixed"/>
        <w:tblLook w:val="0000" w:firstRow="0" w:lastRow="0" w:firstColumn="0" w:lastColumn="0" w:noHBand="0" w:noVBand="0"/>
      </w:tblPr>
      <w:tblGrid>
        <w:gridCol w:w="1897"/>
        <w:gridCol w:w="1897"/>
        <w:gridCol w:w="1897"/>
        <w:gridCol w:w="1897"/>
        <w:gridCol w:w="1897"/>
      </w:tblGrid>
      <w:tr w:rsidR="00062D3E" w:rsidRPr="009A5520" w:rsidTr="00B57C40">
        <w:trPr>
          <w:trHeight w:val="73"/>
        </w:trPr>
        <w:tc>
          <w:tcPr>
            <w:tcW w:w="9483" w:type="dxa"/>
            <w:gridSpan w:val="5"/>
            <w:shd w:val="clear" w:color="auto" w:fill="F2F2F2" w:themeFill="background1" w:themeFillShade="F2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Style w:val="Bold"/>
                <w:rFonts w:ascii="Times New Roman" w:hAnsi="Times New Roman" w:cs="Times New Roman"/>
                <w:bCs/>
                <w:sz w:val="28"/>
                <w:szCs w:val="28"/>
              </w:rPr>
              <w:t>Уровень риска</w:t>
            </w:r>
          </w:p>
        </w:tc>
      </w:tr>
      <w:tr w:rsidR="00B57C40" w:rsidRPr="009A5520" w:rsidTr="00B57C40">
        <w:trPr>
          <w:trHeight w:val="73"/>
        </w:trPr>
        <w:tc>
          <w:tcPr>
            <w:tcW w:w="1897" w:type="dxa"/>
            <w:shd w:val="clear" w:color="auto" w:fill="00B050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97" w:type="dxa"/>
            <w:shd w:val="clear" w:color="auto" w:fill="92D050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1897" w:type="dxa"/>
            <w:shd w:val="clear" w:color="auto" w:fill="FFFF00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FFC000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значительный</w:t>
            </w:r>
          </w:p>
        </w:tc>
        <w:tc>
          <w:tcPr>
            <w:tcW w:w="1897" w:type="dxa"/>
            <w:shd w:val="clear" w:color="auto" w:fill="FF0000"/>
          </w:tcPr>
          <w:p w:rsidR="00062D3E" w:rsidRPr="009A5520" w:rsidRDefault="00062D3E" w:rsidP="00B57C40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062D3E" w:rsidRPr="009A5520" w:rsidRDefault="00062D3E" w:rsidP="00062D3E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sz w:val="28"/>
          <w:szCs w:val="28"/>
        </w:rPr>
        <w:t>По результатам оценки рисков определяют необходимые мероприятия для снижения уровня риска и его нивелирования. А также защитные действия работника, которые он должен выполнять, чтобы не причинить вреда своему здоровью, в случае проявления рисков. Перечень установленных на рабочем месте рисков, результаты их оценки и защитные действия работника от них отражаются в карте рисков рабочего места.</w:t>
      </w:r>
    </w:p>
    <w:p w:rsidR="00B57C40" w:rsidRPr="009A5520" w:rsidRDefault="00B57C40" w:rsidP="00062D3E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A5520">
        <w:rPr>
          <w:rStyle w:val="Bold"/>
          <w:rFonts w:ascii="Times New Roman" w:hAnsi="Times New Roman" w:cs="Times New Roman"/>
          <w:bCs/>
          <w:sz w:val="28"/>
          <w:szCs w:val="28"/>
        </w:rPr>
        <w:t>Таблица 4. Уровень риска. Показатели</w:t>
      </w:r>
    </w:p>
    <w:tbl>
      <w:tblPr>
        <w:tblW w:w="10666" w:type="dxa"/>
        <w:tblInd w:w="-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850"/>
        <w:gridCol w:w="885"/>
        <w:gridCol w:w="886"/>
        <w:gridCol w:w="885"/>
        <w:gridCol w:w="886"/>
        <w:gridCol w:w="886"/>
      </w:tblGrid>
      <w:tr w:rsidR="00B57C40" w:rsidRPr="009A5520" w:rsidTr="00D6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5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Тяжесть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</w:t>
            </w:r>
          </w:p>
        </w:tc>
      </w:tr>
      <w:tr w:rsidR="00D610B4" w:rsidRPr="009A5520" w:rsidTr="00D6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38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7C40" w:rsidRPr="009A5520" w:rsidRDefault="00B57C40" w:rsidP="00D610B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0" w:rsidRPr="009A5520" w:rsidRDefault="00B57C40" w:rsidP="00D610B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Практически исключено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Сложно представить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Иногда</w:t>
            </w:r>
          </w:p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может </w:t>
            </w:r>
          </w:p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произойти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Вероятно произойдет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Обязатель</w:t>
            </w:r>
            <w:r w:rsidR="00D610B4"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 произой</w:t>
            </w: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дет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Травма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Профзаболевание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D610B4">
            <w:pPr>
              <w:pStyle w:val="17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Работник может получить</w:t>
            </w:r>
          </w:p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микротравму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Неблагоприятные изменения в организме работника. Функциональные изменения, которые не восстанавливаются к началу следующей смены и при перерывах в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Работник может получить легкую травму, которая приведет к потере трудоспособности от 1 до 3 суток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 xml:space="preserve">Стойкие функциональные изменения, которые в большинстве случаев приводят к увеличению профессионально </w:t>
            </w: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обусловленной заболеваемости, повышению уровня заболеваемости с временной утратой трудоспособности, появлению начальных признаков или легких форм профзаболеваний, без потери профессиональной трудоспособности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может получить травму или у него может произойти обострение заболевания с потерей трудоспособности от 3 до 14 дней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Неблагоприятные изменения в организме работника или его потомстве. Развиваются, как правило, профзаболевания легкой и средней степеней тяжести с потерей профессиональной трудоспособности в период трудовой деятельности, хроническая профессионально обусловленная патология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может получить тяжелую травму или у него может произойти обострение заболевания с потерей трудоспособности более 14 дней. Либо в результате проявления риска может произойти </w:t>
            </w: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НС, при котором могут пострадать до 3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Неблагоприятные изменения в организме работника или его потомстве. Тяжелые формы профзаболеваний с потерей общей трудоспособности. Хронические заболевания и высокие уровни заболеваемости с временной утратой </w:t>
            </w: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10B4" w:rsidRPr="009A5520" w:rsidTr="00D7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 может привести к НС, в результате которого может пострадать группа работников более 3 человек или риск может привести к смертельному НС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B57C40" w:rsidRPr="009A5520" w:rsidRDefault="00B57C40" w:rsidP="00B57C40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Угроза для жизни возникает в течение рабочей смены или ее части. Существует опасность развития острых профессиональных поражений, в том числе и тяжелых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0000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B57C40" w:rsidRPr="009A5520" w:rsidRDefault="00B57C40" w:rsidP="00D610B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62D3E" w:rsidRPr="009A5520" w:rsidRDefault="00062D3E" w:rsidP="00062D3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D60202" w:rsidRPr="009A5520" w:rsidRDefault="00D60202">
      <w:pPr>
        <w:rPr>
          <w:sz w:val="28"/>
          <w:szCs w:val="28"/>
        </w:rPr>
      </w:pPr>
    </w:p>
    <w:sectPr w:rsidR="00D60202" w:rsidRPr="009A5520" w:rsidSect="00D6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3E"/>
    <w:rsid w:val="00062D3E"/>
    <w:rsid w:val="001B1FF1"/>
    <w:rsid w:val="003D7332"/>
    <w:rsid w:val="006A1AF5"/>
    <w:rsid w:val="006D5534"/>
    <w:rsid w:val="009A5520"/>
    <w:rsid w:val="00B57C40"/>
    <w:rsid w:val="00BF703B"/>
    <w:rsid w:val="00D60202"/>
    <w:rsid w:val="00D610B4"/>
    <w:rsid w:val="00D76991"/>
    <w:rsid w:val="00DC0C80"/>
    <w:rsid w:val="00E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6BCB51-2FE8-4A07-B5BF-87D985E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3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062D3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62D3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header-1">
    <w:name w:val="17PRIL-header-1"/>
    <w:basedOn w:val="a"/>
    <w:uiPriority w:val="99"/>
    <w:rsid w:val="00062D3E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header-2">
    <w:name w:val="17PRIL-header-2"/>
    <w:basedOn w:val="17PRIL-header-1"/>
    <w:uiPriority w:val="99"/>
    <w:rsid w:val="00062D3E"/>
    <w:pPr>
      <w:spacing w:before="397" w:after="57"/>
    </w:pPr>
    <w:rPr>
      <w:spacing w:val="0"/>
      <w:sz w:val="24"/>
      <w:szCs w:val="24"/>
    </w:rPr>
  </w:style>
  <w:style w:type="paragraph" w:customStyle="1" w:styleId="a3">
    <w:name w:val="[Без стиля]"/>
    <w:rsid w:val="00062D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062D3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062D3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7TABL-hroom">
    <w:name w:val="17TABL-hroom"/>
    <w:basedOn w:val="a"/>
    <w:uiPriority w:val="99"/>
    <w:rsid w:val="00062D3E"/>
    <w:pPr>
      <w:tabs>
        <w:tab w:val="center" w:pos="4791"/>
      </w:tabs>
      <w:autoSpaceDE w:val="0"/>
      <w:autoSpaceDN w:val="0"/>
      <w:adjustRightInd w:val="0"/>
      <w:spacing w:after="0" w:line="380" w:lineRule="atLeast"/>
      <w:textAlignment w:val="center"/>
    </w:pPr>
    <w:rPr>
      <w:rFonts w:ascii="TextBookC" w:hAnsi="TextBookC" w:cs="TextBookC"/>
      <w:b/>
      <w:bCs/>
      <w:color w:val="000000"/>
      <w:sz w:val="20"/>
      <w:szCs w:val="20"/>
    </w:rPr>
  </w:style>
  <w:style w:type="character" w:customStyle="1" w:styleId="propis">
    <w:name w:val="propis"/>
    <w:uiPriority w:val="99"/>
    <w:rsid w:val="00062D3E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rsid w:val="00062D3E"/>
    <w:rPr>
      <w:b/>
    </w:rPr>
  </w:style>
  <w:style w:type="paragraph" w:customStyle="1" w:styleId="17PRIL-raspr">
    <w:name w:val="17PRIL-raspr"/>
    <w:basedOn w:val="17PRIL-txt"/>
    <w:uiPriority w:val="99"/>
    <w:rsid w:val="00B57C40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LOCAL-title">
    <w:name w:val="17LOCAL-title"/>
    <w:basedOn w:val="a3"/>
    <w:uiPriority w:val="99"/>
    <w:rsid w:val="00B57C40"/>
    <w:pPr>
      <w:pBdr>
        <w:top w:val="single" w:sz="96" w:space="0" w:color="000000"/>
        <w:bottom w:val="single" w:sz="96" w:space="0" w:color="000000"/>
      </w:pBdr>
      <w:suppressAutoHyphens/>
      <w:spacing w:before="113" w:after="624" w:line="460" w:lineRule="atLeast"/>
    </w:pPr>
    <w:rPr>
      <w:rFonts w:ascii="TextBookC" w:hAnsi="TextBookC" w:cs="TextBookC"/>
      <w:b/>
      <w:bCs/>
      <w:spacing w:val="-4"/>
      <w:sz w:val="36"/>
      <w:szCs w:val="36"/>
      <w:lang w:val="ru-RU"/>
    </w:rPr>
  </w:style>
  <w:style w:type="table" w:styleId="a4">
    <w:name w:val="Table Grid"/>
    <w:basedOn w:val="a1"/>
    <w:uiPriority w:val="59"/>
    <w:rsid w:val="00B57C4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TRUD</cp:lastModifiedBy>
  <cp:revision>2</cp:revision>
  <dcterms:created xsi:type="dcterms:W3CDTF">2022-02-07T00:25:00Z</dcterms:created>
  <dcterms:modified xsi:type="dcterms:W3CDTF">2022-02-07T00:25:00Z</dcterms:modified>
</cp:coreProperties>
</file>