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13" w:rsidRDefault="00095D13">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r>
        <w:rPr>
          <w:rFonts w:ascii="Times New Roman" w:hAnsi="Times New Roman"/>
          <w:b/>
          <w:bCs/>
          <w:sz w:val="24"/>
          <w:szCs w:val="24"/>
        </w:rPr>
        <w:t>Данный документ вступает в силу с 01.03.2022 (</w:t>
      </w:r>
      <w:hyperlink r:id="rId4" w:history="1">
        <w:r>
          <w:rPr>
            <w:rFonts w:ascii="Times New Roman" w:hAnsi="Times New Roman"/>
            <w:b/>
            <w:bCs/>
            <w:sz w:val="24"/>
            <w:szCs w:val="24"/>
            <w:u w:val="single"/>
          </w:rPr>
          <w:t>пункт 3</w:t>
        </w:r>
      </w:hyperlink>
      <w:r>
        <w:rPr>
          <w:rFonts w:ascii="Times New Roman" w:hAnsi="Times New Roman"/>
          <w:b/>
          <w:bCs/>
          <w:sz w:val="24"/>
          <w:szCs w:val="24"/>
        </w:rPr>
        <w:t>).</w:t>
      </w:r>
    </w:p>
    <w:p w:rsidR="00095D13" w:rsidRDefault="00095D13">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МИНИСТЕРСТВО ТРУДА И СОЦИАЛЬНОЙ ЗАЩИТЫ РОССИЙСКОЙ ФЕДЕРАЦИИ</w:t>
      </w:r>
    </w:p>
    <w:p w:rsidR="00095D13" w:rsidRPr="006B3408" w:rsidRDefault="00095D13">
      <w:pPr>
        <w:widowControl w:val="0"/>
        <w:autoSpaceDE w:val="0"/>
        <w:autoSpaceDN w:val="0"/>
        <w:adjustRightInd w:val="0"/>
        <w:spacing w:after="0" w:line="240" w:lineRule="auto"/>
        <w:rPr>
          <w:rFonts w:ascii="Times New Roman" w:hAnsi="Times New Roman"/>
          <w:sz w:val="28"/>
          <w:szCs w:val="28"/>
        </w:rPr>
      </w:pPr>
    </w:p>
    <w:p w:rsidR="00095D13" w:rsidRPr="006B3408" w:rsidRDefault="00095D13">
      <w:pPr>
        <w:widowControl w:val="0"/>
        <w:autoSpaceDE w:val="0"/>
        <w:autoSpaceDN w:val="0"/>
        <w:adjustRightInd w:val="0"/>
        <w:spacing w:after="150" w:line="240" w:lineRule="auto"/>
        <w:jc w:val="center"/>
        <w:rPr>
          <w:rFonts w:ascii="Times New Roman" w:hAnsi="Times New Roman"/>
          <w:b/>
          <w:bCs/>
          <w:sz w:val="28"/>
          <w:szCs w:val="28"/>
        </w:rPr>
      </w:pPr>
      <w:r w:rsidRPr="006B3408">
        <w:rPr>
          <w:rFonts w:ascii="Times New Roman" w:hAnsi="Times New Roman"/>
          <w:b/>
          <w:bCs/>
          <w:sz w:val="28"/>
          <w:szCs w:val="28"/>
        </w:rPr>
        <w:t>ПРИКАЗ</w:t>
      </w: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от 17 декабря 2021 г. N 894</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частью четвертой статьи 216.2 Трудового </w:t>
      </w:r>
      <w:hyperlink r:id="rId5" w:history="1">
        <w:r>
          <w:rPr>
            <w:rFonts w:ascii="Times New Roman" w:hAnsi="Times New Roman"/>
            <w:sz w:val="24"/>
            <w:szCs w:val="24"/>
            <w:u w:val="single"/>
          </w:rPr>
          <w:t>кодекса</w:t>
        </w:r>
      </w:hyperlink>
      <w:r>
        <w:rPr>
          <w:rFonts w:ascii="Times New Roman" w:hAnsi="Times New Roman"/>
          <w:sz w:val="24"/>
          <w:szCs w:val="24"/>
        </w:rPr>
        <w:t xml:space="preserve"> Российской Федерации (Собрание законодательства Российской Федерации, 2002, N 1, ст. 3; 2021, N 27, ст. 5139) и подпунктом 5.2.19(1) </w:t>
      </w:r>
      <w:hyperlink r:id="rId6" w:history="1">
        <w:r>
          <w:rPr>
            <w:rFonts w:ascii="Times New Roman" w:hAnsi="Times New Roman"/>
            <w:sz w:val="24"/>
            <w:szCs w:val="24"/>
            <w:u w:val="single"/>
          </w:rPr>
          <w:t>пункта 5</w:t>
        </w:r>
      </w:hyperlink>
      <w:r>
        <w:rPr>
          <w:rFonts w:ascii="Times New Roman" w:hAnsi="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Признать утратившим силу постановление Министерства труда и социального развития Российской Федерации </w:t>
      </w:r>
      <w:hyperlink r:id="rId7" w:history="1">
        <w:r>
          <w:rPr>
            <w:rFonts w:ascii="Times New Roman" w:hAnsi="Times New Roman"/>
            <w:sz w:val="24"/>
            <w:szCs w:val="24"/>
            <w:u w:val="single"/>
          </w:rPr>
          <w:t>от 17 января 2001 г. N 7</w:t>
        </w:r>
      </w:hyperlink>
      <w:r>
        <w:rPr>
          <w:rFonts w:ascii="Times New Roman" w:hAnsi="Times New Roman"/>
          <w:sz w:val="24"/>
          <w:szCs w:val="24"/>
        </w:rPr>
        <w:t xml:space="preserve"> "Об утверждении Рекомендаций по организации работы кабинета охраны труда и уголка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Установить, что настоящий приказ вступает в силу с 1 марта 2022 г.</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А.О. КОТЯКОВ</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приказу Министерства труда</w:t>
      </w: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социальной защиты</w:t>
      </w: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95D13" w:rsidRDefault="00095D1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17 декабря 2021 г. N 894</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 xml:space="preserve">РЕКОМЕНДАЦИИ ПО РАЗМЕЩЕНИЮ РАБОТОДАТЕЛЕМ ИНФОРМАЦИОННЫХ МАТЕРИАЛОВ В ЦЕЛЯХ ИНФОРМИРОВАНИЯ РАБОТНИКОВ ОБ ИХ ТРУДОВЫХ ПРАВАХ, ВКЛЮЧАЯ ПРАВО НА </w:t>
      </w:r>
      <w:r w:rsidRPr="006B3408">
        <w:rPr>
          <w:rFonts w:ascii="Times New Roman" w:hAnsi="Times New Roman"/>
          <w:b/>
          <w:bCs/>
          <w:sz w:val="28"/>
          <w:szCs w:val="28"/>
        </w:rPr>
        <w:lastRenderedPageBreak/>
        <w:t>БЕЗОПАСНЫЕ УСЛОВИЯ И ОХРАНУ ТРУДА</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Default="00095D1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размещение на внутреннем корпоративном веб-портале или веб-сайте работодателя (при наличии);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рассылка по электронной почте/проведение онлайн-опросов;</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проведение телефонных интервью;</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проведение собеседований.</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Работодатель может осуществлять указанные в пункте 4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охват целевой аудитории: сколько работников проинформировано о своих трудовых правах (в абсолютных или относительных величинах);</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тираж печатных материалов (или их количество) с информацией о трудовых правах работников,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II. Рекомендации по организации тиражирования (распространения) печатной продукции и видеоматериалов</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w:t>
      </w:r>
      <w:r>
        <w:rPr>
          <w:rFonts w:ascii="Times New Roman" w:hAnsi="Times New Roman"/>
          <w:sz w:val="24"/>
          <w:szCs w:val="24"/>
        </w:rPr>
        <w:lastRenderedPageBreak/>
        <w:t>охраны труда или уголка охраны труда (при их наличии).</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III. Рекомендации по организации взаимодействия с работниками в целях информирования о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8" w:history="1">
        <w:r>
          <w:rPr>
            <w:rFonts w:ascii="Times New Roman" w:hAnsi="Times New Roman"/>
            <w:sz w:val="24"/>
            <w:szCs w:val="24"/>
            <w:u w:val="single"/>
          </w:rPr>
          <w:t>Статья 7</w:t>
        </w:r>
      </w:hyperlink>
      <w:r>
        <w:rPr>
          <w:rFonts w:ascii="Times New Roman" w:hAnsi="Times New Roman"/>
          <w:sz w:val="24"/>
          <w:szCs w:val="24"/>
        </w:rPr>
        <w:t xml:space="preserve"> Федерального закона от 27 июля 2006 г. N 152-ФЗ "О персональных данных" (Собрание законодательства Российской Федерации, 2006, N 31, ст. 3451).</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t>IV. Рекомендации по организации работы кабинета охраны труда или уголка охраны труда у работодателя и в его структурных подразделениях</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w:t>
      </w:r>
      <w:r>
        <w:rPr>
          <w:rFonts w:ascii="Times New Roman" w:hAnsi="Times New Roman"/>
          <w:sz w:val="24"/>
          <w:szCs w:val="24"/>
        </w:rPr>
        <w:lastRenderedPageBreak/>
        <w:t>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Работу кабинета охраны труда и уголка охраны труда рекомендуется обеспечивать в рамках функционирования системы управления охраной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При осуществлении деятельности кабинета охраны труда и уголка охраны труда обеспечивается: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оказание помощи руководителям структурных подразделений работодателя и работникам в обеспечении выполнения требований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пропаганда вопросов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w:t>
      </w:r>
      <w:r>
        <w:rPr>
          <w:rFonts w:ascii="Times New Roman" w:hAnsi="Times New Roman"/>
          <w:sz w:val="24"/>
          <w:szCs w:val="24"/>
        </w:rPr>
        <w:lastRenderedPageBreak/>
        <w:t>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Деятельность уголка охраны труда обеспечивает в зависимости от уровня оснащенности выполнение отдельных или всех мероприятий, предусмотренных пунктом 20 для кабинета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Деятельность уголка охраны труда структурного подразделения (участка) работодателя обеспечивает доведение до работников информации о:</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трудовых правах работников,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планах работы кабинета охраны труда (при наличии у работодателя);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графиках проведения инструктажей по охране труда и расписаниях учебных занятий по охране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приказах и распоряжениях по вопросам охраны труда у работодателя, планах мероприятий по улучшению условий и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выявленных вредных и опасных производственных факторах и имеющихся средствах индивидуальной и коллективной защиты на рабочих местах структурного подразделения (участка);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выявленных нарушениях требований законодательства об охране труда и принятых мерах по их устранению;</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новых поступлениях документов, учебно-методической литературы, учебных видеофильмов по охране труда и других документов и материалов в кабинет охраны труда.</w:t>
      </w:r>
    </w:p>
    <w:p w:rsidR="00095D13" w:rsidRDefault="00095D13">
      <w:pPr>
        <w:widowControl w:val="0"/>
        <w:autoSpaceDE w:val="0"/>
        <w:autoSpaceDN w:val="0"/>
        <w:adjustRightInd w:val="0"/>
        <w:spacing w:after="0" w:line="240" w:lineRule="auto"/>
        <w:rPr>
          <w:rFonts w:ascii="Times New Roman" w:hAnsi="Times New Roman"/>
          <w:sz w:val="24"/>
          <w:szCs w:val="24"/>
        </w:rPr>
      </w:pPr>
    </w:p>
    <w:p w:rsidR="00095D13" w:rsidRPr="006B3408" w:rsidRDefault="00095D13">
      <w:pPr>
        <w:widowControl w:val="0"/>
        <w:autoSpaceDE w:val="0"/>
        <w:autoSpaceDN w:val="0"/>
        <w:adjustRightInd w:val="0"/>
        <w:spacing w:after="150" w:line="240" w:lineRule="auto"/>
        <w:jc w:val="center"/>
        <w:rPr>
          <w:rFonts w:ascii="Times New Roman" w:hAnsi="Times New Roman"/>
          <w:sz w:val="28"/>
          <w:szCs w:val="28"/>
        </w:rPr>
      </w:pPr>
      <w:r w:rsidRPr="006B3408">
        <w:rPr>
          <w:rFonts w:ascii="Times New Roman" w:hAnsi="Times New Roman"/>
          <w:b/>
          <w:bCs/>
          <w:sz w:val="28"/>
          <w:szCs w:val="28"/>
        </w:rPr>
        <w:lastRenderedPageBreak/>
        <w:t>V. Тематическая структура и оснащение кабинета охраны труда и уголка охраны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В тематическую структуру оснащения кабинета охраны труда и уголка охраны труда рекомендуется включать общий и специальные разделы.</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Для организации уголка охраны труда рекомендуется выделять либо отдельное помещение, либо оборудовать часть помещения общего назначения.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При организации работы кабинета охраны труда и уголка охраны труда рекомендуется учитывать:</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В целях эффективной работы кабинета охраны труда (уголка охраны труда) рекомендуется:</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rsidR="00095D13" w:rsidRDefault="00095D1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sectPr w:rsidR="00095D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77"/>
    <w:rsid w:val="00095D13"/>
    <w:rsid w:val="001A1AF0"/>
    <w:rsid w:val="006B3408"/>
    <w:rsid w:val="00BD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D9FAA3-CE51-4F14-A340-44DED1B5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5751#l253"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2686#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404118#l217" TargetMode="External"/><Relationship Id="rId5" Type="http://schemas.openxmlformats.org/officeDocument/2006/relationships/hyperlink" Target="https://normativ.kontur.ru/document?moduleid=1&amp;documentid=407606#l0" TargetMode="External"/><Relationship Id="rId10" Type="http://schemas.openxmlformats.org/officeDocument/2006/relationships/theme" Target="theme/theme1.xml"/><Relationship Id="rId4" Type="http://schemas.openxmlformats.org/officeDocument/2006/relationships/hyperlink" Target="https://normativ.kontur.ru/document?moduleId=1&amp;documentId=411343#l4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2022-02-08T01:21:00Z</dcterms:created>
  <dcterms:modified xsi:type="dcterms:W3CDTF">2022-02-08T01:21:00Z</dcterms:modified>
</cp:coreProperties>
</file>